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FECD6B">
      <w:pPr>
        <w:jc w:val="center"/>
        <w:rPr>
          <w:rFonts w:ascii="Cambria" w:hAnsi="Cambria" w:eastAsia="仿宋_GB2312" w:cs="Times New Roman"/>
          <w:sz w:val="30"/>
          <w:szCs w:val="30"/>
        </w:rPr>
      </w:pPr>
    </w:p>
    <w:p w14:paraId="67FCED2D">
      <w:pPr>
        <w:jc w:val="center"/>
        <w:rPr>
          <w:rFonts w:ascii="Cambria" w:hAnsi="Cambria" w:eastAsia="仿宋_GB2312" w:cs="Times New Roman"/>
          <w:szCs w:val="21"/>
        </w:rPr>
      </w:pPr>
    </w:p>
    <w:p w14:paraId="6D743142">
      <w:pPr>
        <w:jc w:val="center"/>
        <w:rPr>
          <w:rFonts w:ascii="Cambria" w:hAnsi="Cambria" w:eastAsia="仿宋_GB2312" w:cs="Times New Roman"/>
        </w:rPr>
      </w:pPr>
    </w:p>
    <w:p w14:paraId="19AB0129">
      <w:pPr>
        <w:jc w:val="center"/>
        <w:rPr>
          <w:rFonts w:ascii="Cambria" w:hAnsi="Cambria" w:eastAsia="仿宋_GB2312" w:cs="Times New Roman"/>
        </w:rPr>
      </w:pPr>
    </w:p>
    <w:p w14:paraId="21BA5639">
      <w:pPr>
        <w:jc w:val="center"/>
        <w:rPr>
          <w:rFonts w:ascii="Cambria" w:hAnsi="Cambria" w:eastAsia="仿宋_GB2312" w:cs="Times New Roman"/>
        </w:rPr>
      </w:pPr>
    </w:p>
    <w:p w14:paraId="5ECB1CEE">
      <w:pPr>
        <w:jc w:val="center"/>
        <w:rPr>
          <w:rFonts w:ascii="Cambria" w:hAnsi="Cambria" w:eastAsia="仿宋_GB2312" w:cs="Times New Roman"/>
        </w:rPr>
      </w:pPr>
      <w:bookmarkStart w:id="0" w:name="_GoBack"/>
      <w:bookmarkEnd w:id="0"/>
    </w:p>
    <w:p w14:paraId="726DBB18">
      <w:pPr>
        <w:jc w:val="center"/>
        <w:rPr>
          <w:rFonts w:ascii="Cambria" w:hAnsi="Cambria" w:eastAsia="仿宋_GB2312" w:cs="Times New Roman"/>
        </w:rPr>
      </w:pPr>
    </w:p>
    <w:p w14:paraId="5A44C95F">
      <w:pPr>
        <w:jc w:val="center"/>
        <w:rPr>
          <w:rFonts w:ascii="Cambria" w:hAnsi="Cambria" w:eastAsia="仿宋_GB2312" w:cs="Times New Roman"/>
        </w:rPr>
      </w:pPr>
    </w:p>
    <w:p w14:paraId="289947A7">
      <w:pPr>
        <w:jc w:val="center"/>
        <w:rPr>
          <w:rFonts w:ascii="Cambria" w:hAnsi="Cambria" w:eastAsia="仿宋_GB2312" w:cs="Times New Roman"/>
        </w:rPr>
      </w:pPr>
    </w:p>
    <w:p w14:paraId="72657841">
      <w:pPr>
        <w:jc w:val="center"/>
        <w:rPr>
          <w:rFonts w:ascii="Cambria" w:hAnsi="Cambria" w:eastAsia="仿宋_GB2312" w:cs="Times New Roman"/>
        </w:rPr>
      </w:pPr>
    </w:p>
    <w:p w14:paraId="71D8387E">
      <w:pPr>
        <w:spacing w:line="240" w:lineRule="exact"/>
        <w:jc w:val="center"/>
        <w:rPr>
          <w:rFonts w:ascii="Cambria" w:hAnsi="Cambria" w:eastAsia="仿宋_GB2312" w:cs="Times New Roman"/>
        </w:rPr>
      </w:pPr>
    </w:p>
    <w:p w14:paraId="3F4571D4">
      <w:pPr>
        <w:jc w:val="center"/>
        <w:rPr>
          <w:rFonts w:ascii="Calibri" w:hAnsi="Calibri" w:eastAsia="仿宋_GB2312" w:cs="Times New Roman"/>
          <w:sz w:val="30"/>
          <w:szCs w:val="30"/>
        </w:rPr>
      </w:pPr>
      <w:r>
        <w:rPr>
          <w:rFonts w:hint="eastAsia" w:ascii="仿宋_GB2312" w:hAnsi="Cambria" w:eastAsia="仿宋_GB2312" w:cs="Times New Roman"/>
          <w:sz w:val="30"/>
          <w:szCs w:val="30"/>
        </w:rPr>
        <w:t>中建材</w:t>
      </w:r>
      <w:r>
        <w:rPr>
          <w:rFonts w:hint="eastAsia" w:ascii="仿宋_GB2312" w:hAnsi="Cambria" w:eastAsia="仿宋_GB2312"/>
          <w:sz w:val="30"/>
          <w:szCs w:val="30"/>
        </w:rPr>
        <w:t>协</w:t>
      </w:r>
      <w:r>
        <w:rPr>
          <w:rFonts w:hint="eastAsia" w:ascii="仿宋_GB2312" w:hAnsi="Cambria" w:eastAsia="仿宋_GB2312" w:cs="Times New Roman"/>
          <w:sz w:val="30"/>
          <w:szCs w:val="30"/>
        </w:rPr>
        <w:t>字〔202</w:t>
      </w:r>
      <w:r>
        <w:rPr>
          <w:rFonts w:hint="eastAsia" w:ascii="仿宋_GB2312" w:hAnsi="Cambria" w:eastAsia="仿宋_GB2312"/>
          <w:sz w:val="30"/>
          <w:szCs w:val="30"/>
          <w:lang w:val="en-US" w:eastAsia="zh-CN"/>
        </w:rPr>
        <w:t>5</w:t>
      </w:r>
      <w:r>
        <w:rPr>
          <w:rFonts w:hint="eastAsia" w:ascii="仿宋_GB2312" w:hAnsi="Cambria" w:eastAsia="仿宋_GB2312" w:cs="Times New Roman"/>
          <w:sz w:val="30"/>
          <w:szCs w:val="30"/>
        </w:rPr>
        <w:t>〕</w:t>
      </w:r>
      <w:r>
        <w:rPr>
          <w:rFonts w:hint="eastAsia" w:ascii="仿宋_GB2312" w:hAnsi="Cambria" w:eastAsia="仿宋_GB2312"/>
          <w:sz w:val="30"/>
          <w:szCs w:val="30"/>
          <w:lang w:val="en-US" w:eastAsia="zh-CN"/>
        </w:rPr>
        <w:t>92</w:t>
      </w:r>
      <w:r>
        <w:rPr>
          <w:rFonts w:hint="eastAsia" w:ascii="仿宋_GB2312" w:hAnsi="Cambria" w:eastAsia="仿宋_GB2312" w:cs="Times New Roman"/>
          <w:sz w:val="30"/>
          <w:szCs w:val="30"/>
        </w:rPr>
        <w:t>号</w:t>
      </w:r>
    </w:p>
    <w:p w14:paraId="10AC1A60">
      <w:pPr>
        <w:jc w:val="center"/>
        <w:rPr>
          <w:rFonts w:ascii="Cambria" w:hAnsi="Cambria" w:eastAsia="仿宋_GB2312" w:cs="Times New Roman"/>
          <w:sz w:val="30"/>
          <w:szCs w:val="30"/>
        </w:rPr>
      </w:pPr>
    </w:p>
    <w:p w14:paraId="5A095F06">
      <w:pPr>
        <w:jc w:val="center"/>
        <w:rPr>
          <w:rFonts w:hint="default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 w:cs="Times New Roman"/>
          <w:b/>
          <w:sz w:val="44"/>
          <w:szCs w:val="44"/>
        </w:rPr>
        <w:t>关于</w:t>
      </w:r>
      <w:r>
        <w:rPr>
          <w:rFonts w:hint="eastAsia" w:ascii="宋体" w:hAnsi="宋体"/>
          <w:b/>
          <w:sz w:val="44"/>
          <w:szCs w:val="44"/>
        </w:rPr>
        <w:t>开展202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5</w:t>
      </w:r>
      <w:r>
        <w:rPr>
          <w:rFonts w:hint="eastAsia" w:ascii="宋体" w:hAnsi="宋体"/>
          <w:b/>
          <w:sz w:val="44"/>
          <w:szCs w:val="44"/>
        </w:rPr>
        <w:t>年</w:t>
      </w:r>
      <w:r>
        <w:rPr>
          <w:rFonts w:hint="eastAsia" w:ascii="宋体" w:hAnsi="宋体"/>
          <w:b/>
          <w:sz w:val="44"/>
          <w:szCs w:val="44"/>
          <w:lang w:eastAsia="zh-CN"/>
        </w:rPr>
        <w:t>建材与家居行业</w:t>
      </w:r>
    </w:p>
    <w:p w14:paraId="568C146C">
      <w:pPr>
        <w:jc w:val="center"/>
        <w:rPr>
          <w:rFonts w:hint="eastAsia" w:ascii="宋体" w:hAnsi="宋体" w:eastAsia="宋体" w:cs="Times New Roman"/>
          <w:b/>
          <w:spacing w:val="-8"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“以旧换新”典型案例等</w:t>
      </w:r>
      <w:r>
        <w:rPr>
          <w:rFonts w:hint="eastAsia" w:ascii="宋体" w:hAnsi="宋体"/>
          <w:b/>
          <w:sz w:val="44"/>
          <w:szCs w:val="44"/>
        </w:rPr>
        <w:t>征集和评选</w:t>
      </w:r>
      <w:r>
        <w:rPr>
          <w:rFonts w:hint="eastAsia" w:ascii="宋体" w:hAnsi="宋体" w:eastAsia="宋体" w:cs="Times New Roman"/>
          <w:b/>
          <w:spacing w:val="-8"/>
          <w:sz w:val="44"/>
          <w:szCs w:val="44"/>
        </w:rPr>
        <w:t>工作</w:t>
      </w:r>
    </w:p>
    <w:p w14:paraId="62D238E4">
      <w:pPr>
        <w:jc w:val="center"/>
        <w:rPr>
          <w:rFonts w:ascii="宋体" w:hAnsi="宋体" w:eastAsia="宋体" w:cs="Times New Roman"/>
          <w:b/>
          <w:sz w:val="44"/>
          <w:szCs w:val="44"/>
        </w:rPr>
      </w:pPr>
      <w:r>
        <w:rPr>
          <w:rFonts w:hint="eastAsia" w:ascii="宋体" w:hAnsi="宋体"/>
          <w:b/>
          <w:spacing w:val="-8"/>
          <w:sz w:val="44"/>
          <w:szCs w:val="44"/>
        </w:rPr>
        <w:t>的</w:t>
      </w:r>
      <w:r>
        <w:rPr>
          <w:rFonts w:hint="eastAsia" w:ascii="宋体" w:hAnsi="宋体" w:eastAsia="宋体" w:cs="Times New Roman"/>
          <w:b/>
          <w:sz w:val="44"/>
          <w:szCs w:val="44"/>
        </w:rPr>
        <w:t>通知</w:t>
      </w:r>
    </w:p>
    <w:p w14:paraId="3ED1ABC0">
      <w:pPr>
        <w:rPr>
          <w:rFonts w:ascii="仿宋_GB2312" w:hAnsi="Calibri" w:eastAsia="仿宋_GB2312" w:cs="Times New Roman"/>
          <w:sz w:val="30"/>
          <w:szCs w:val="30"/>
        </w:rPr>
      </w:pPr>
    </w:p>
    <w:p w14:paraId="3F1DDD23">
      <w:pPr>
        <w:rPr>
          <w:rFonts w:ascii="仿宋_GB2312" w:eastAsia="仿宋_GB2312"/>
          <w:b w:val="0"/>
          <w:bCs w:val="0"/>
          <w:sz w:val="30"/>
          <w:szCs w:val="30"/>
        </w:rPr>
      </w:pPr>
      <w:r>
        <w:rPr>
          <w:rFonts w:hint="eastAsia" w:ascii="仿宋_GB2312" w:eastAsia="仿宋_GB2312"/>
          <w:b w:val="0"/>
          <w:bCs w:val="0"/>
          <w:sz w:val="30"/>
          <w:szCs w:val="30"/>
        </w:rPr>
        <w:t>全国各相关地方政府部门，</w:t>
      </w:r>
      <w:r>
        <w:rPr>
          <w:rFonts w:hint="eastAsia" w:ascii="仿宋_GB2312" w:eastAsia="仿宋_GB2312"/>
          <w:b w:val="0"/>
          <w:bCs w:val="0"/>
          <w:sz w:val="30"/>
          <w:szCs w:val="30"/>
          <w:lang w:eastAsia="zh-CN"/>
        </w:rPr>
        <w:t>建材与家居</w:t>
      </w:r>
      <w:r>
        <w:rPr>
          <w:rFonts w:hint="eastAsia" w:ascii="仿宋_GB2312" w:eastAsia="仿宋_GB2312"/>
          <w:b w:val="0"/>
          <w:bCs w:val="0"/>
          <w:sz w:val="30"/>
          <w:szCs w:val="30"/>
        </w:rPr>
        <w:t>行业相关</w:t>
      </w:r>
      <w:r>
        <w:rPr>
          <w:rFonts w:hint="eastAsia" w:ascii="仿宋_GB2312" w:eastAsia="仿宋_GB2312"/>
          <w:b w:val="0"/>
          <w:bCs w:val="0"/>
          <w:sz w:val="30"/>
          <w:szCs w:val="30"/>
          <w:lang w:eastAsia="zh-CN"/>
        </w:rPr>
        <w:t>生产、流通、服务</w:t>
      </w:r>
      <w:r>
        <w:rPr>
          <w:rFonts w:hint="eastAsia" w:ascii="仿宋_GB2312" w:eastAsia="仿宋_GB2312"/>
          <w:b w:val="0"/>
          <w:bCs w:val="0"/>
          <w:sz w:val="30"/>
          <w:szCs w:val="30"/>
        </w:rPr>
        <w:t>企业</w:t>
      </w:r>
      <w:r>
        <w:rPr>
          <w:rFonts w:hint="eastAsia" w:ascii="仿宋_GB2312" w:eastAsia="仿宋_GB2312"/>
          <w:b w:val="0"/>
          <w:bCs w:val="0"/>
          <w:sz w:val="30"/>
          <w:szCs w:val="30"/>
          <w:lang w:eastAsia="zh-CN"/>
        </w:rPr>
        <w:t>和</w:t>
      </w:r>
      <w:r>
        <w:rPr>
          <w:rFonts w:hint="eastAsia" w:ascii="仿宋_GB2312" w:eastAsia="仿宋_GB2312"/>
          <w:b w:val="0"/>
          <w:bCs w:val="0"/>
          <w:sz w:val="30"/>
          <w:szCs w:val="30"/>
        </w:rPr>
        <w:t>机构：</w:t>
      </w:r>
    </w:p>
    <w:p w14:paraId="33970249">
      <w:pPr>
        <w:ind w:firstLine="600" w:firstLineChars="200"/>
        <w:rPr>
          <w:rFonts w:hint="default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2025年，国家</w:t>
      </w:r>
      <w:r>
        <w:rPr>
          <w:rFonts w:hint="eastAsia" w:ascii="仿宋_GB2312" w:eastAsia="仿宋_GB2312"/>
          <w:sz w:val="30"/>
          <w:szCs w:val="30"/>
        </w:rPr>
        <w:t>加力扩围实施大规模设备更新和消费品以旧换新</w:t>
      </w:r>
      <w:r>
        <w:rPr>
          <w:rFonts w:hint="eastAsia" w:ascii="仿宋_GB2312" w:eastAsia="仿宋_GB2312"/>
          <w:sz w:val="30"/>
          <w:szCs w:val="30"/>
          <w:lang w:eastAsia="zh-CN"/>
        </w:rPr>
        <w:t>。商务部等6部门办公厅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《</w:t>
      </w:r>
      <w:r>
        <w:rPr>
          <w:rFonts w:hint="eastAsia" w:ascii="仿宋_GB2312" w:eastAsia="仿宋_GB2312"/>
          <w:sz w:val="30"/>
          <w:szCs w:val="30"/>
          <w:lang w:eastAsia="zh-CN"/>
        </w:rPr>
        <w:t>关于做好2025年家装厨卫“焕新”工作的通知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》、市场监管总局等五部门《关于印发&lt;优化消费环境三年行动方案（2025—2027年）&gt;的通知》、中共中央办公厅、国务院办公厅印发的《提振消费专项行动方案》以及财政部、中国人民银行、金融监管总局联合印发的《个人消费贷款财政贴息政策实施方案》等一系列政策文件的出台，进一步推动了2025年度“以旧换新”工作的开展。</w:t>
      </w:r>
    </w:p>
    <w:p w14:paraId="7B88268B">
      <w:pPr>
        <w:ind w:firstLine="600" w:firstLineChars="20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在此过程中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，中国建筑材料流通协会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继续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积极配合商务部消费促进司等相关司局，聚焦家装厨卫焕新、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居家适老化改造、促进智能家居消费等方面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，开展了一系列工作，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参与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商务部、辽宁省人民政府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共同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主办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“购在中国·2025全国家居焕新消费季”启动仪式，视频交流了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协会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参与家居焕新消费季活动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的有关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情况。</w:t>
      </w:r>
    </w:p>
    <w:p w14:paraId="531BEDAC">
      <w:pPr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在</w:t>
      </w:r>
      <w:r>
        <w:rPr>
          <w:rFonts w:hint="eastAsia" w:ascii="仿宋_GB2312" w:eastAsia="仿宋_GB2312"/>
          <w:sz w:val="30"/>
          <w:szCs w:val="30"/>
          <w:lang w:eastAsia="zh-CN"/>
        </w:rPr>
        <w:t>国家</w:t>
      </w:r>
      <w:r>
        <w:rPr>
          <w:rFonts w:hint="eastAsia" w:ascii="仿宋_GB2312" w:eastAsia="仿宋_GB2312"/>
          <w:sz w:val="30"/>
          <w:szCs w:val="30"/>
        </w:rPr>
        <w:t>政策的引领</w:t>
      </w:r>
      <w:r>
        <w:rPr>
          <w:rFonts w:hint="eastAsia" w:ascii="仿宋_GB2312" w:eastAsia="仿宋_GB2312"/>
          <w:sz w:val="30"/>
          <w:szCs w:val="30"/>
          <w:lang w:eastAsia="zh-CN"/>
        </w:rPr>
        <w:t>和</w:t>
      </w:r>
      <w:r>
        <w:rPr>
          <w:rFonts w:hint="eastAsia" w:ascii="仿宋_GB2312" w:eastAsia="仿宋_GB2312"/>
          <w:sz w:val="30"/>
          <w:szCs w:val="30"/>
        </w:rPr>
        <w:t>中国建筑材料流通协会</w:t>
      </w:r>
      <w:r>
        <w:rPr>
          <w:rFonts w:hint="eastAsia" w:ascii="仿宋_GB2312" w:eastAsia="仿宋_GB2312"/>
          <w:sz w:val="30"/>
          <w:szCs w:val="30"/>
          <w:lang w:eastAsia="zh-CN"/>
        </w:rPr>
        <w:t>的带动</w:t>
      </w:r>
      <w:r>
        <w:rPr>
          <w:rFonts w:hint="eastAsia" w:ascii="仿宋_GB2312" w:eastAsia="仿宋_GB2312"/>
          <w:sz w:val="30"/>
          <w:szCs w:val="30"/>
        </w:rPr>
        <w:t>下，全国各相关地方政府部门、建材与家居行业各相关企业、机构以及协会全系统积极响应和落实，推出了形式多样、受众广泛的</w:t>
      </w:r>
      <w:r>
        <w:rPr>
          <w:rFonts w:hint="eastAsia" w:ascii="仿宋_GB2312" w:eastAsia="仿宋_GB2312"/>
          <w:sz w:val="30"/>
          <w:szCs w:val="30"/>
          <w:lang w:eastAsia="zh-CN"/>
        </w:rPr>
        <w:t>“以旧换新”</w:t>
      </w:r>
      <w:r>
        <w:rPr>
          <w:rFonts w:hint="eastAsia" w:ascii="仿宋_GB2312" w:eastAsia="仿宋_GB2312"/>
          <w:sz w:val="30"/>
          <w:szCs w:val="30"/>
        </w:rPr>
        <w:t>促消费活动，有效促进了消费市场的加快恢复升级，也更好满足了人民美好生活的需要。</w:t>
      </w:r>
    </w:p>
    <w:p w14:paraId="210C5C44">
      <w:pPr>
        <w:ind w:firstLine="602" w:firstLineChars="20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为进一步推动</w:t>
      </w:r>
      <w:r>
        <w:rPr>
          <w:rFonts w:hint="eastAsia" w:ascii="仿宋_GB2312" w:eastAsia="仿宋_GB2312"/>
          <w:b/>
          <w:sz w:val="30"/>
          <w:szCs w:val="30"/>
          <w:lang w:eastAsia="zh-CN"/>
        </w:rPr>
        <w:t>全国消费品</w:t>
      </w:r>
      <w:r>
        <w:rPr>
          <w:rFonts w:hint="eastAsia" w:ascii="仿宋_GB2312" w:eastAsia="仿宋_GB2312"/>
          <w:b/>
          <w:sz w:val="30"/>
          <w:szCs w:val="30"/>
        </w:rPr>
        <w:t>“以旧换新”</w:t>
      </w:r>
      <w:r>
        <w:rPr>
          <w:rFonts w:hint="eastAsia" w:ascii="仿宋_GB2312" w:eastAsia="仿宋_GB2312"/>
          <w:b/>
          <w:sz w:val="30"/>
          <w:szCs w:val="30"/>
          <w:lang w:eastAsia="zh-CN"/>
        </w:rPr>
        <w:t>国策</w:t>
      </w:r>
      <w:r>
        <w:rPr>
          <w:rFonts w:hint="eastAsia" w:ascii="仿宋_GB2312" w:eastAsia="仿宋_GB2312"/>
          <w:b/>
          <w:sz w:val="30"/>
          <w:szCs w:val="30"/>
        </w:rPr>
        <w:t>落实落细，经研究，现决定进行202</w:t>
      </w:r>
      <w:r>
        <w:rPr>
          <w:rFonts w:hint="eastAsia" w:ascii="仿宋_GB2312" w:eastAsia="仿宋_GB2312"/>
          <w:b/>
          <w:sz w:val="30"/>
          <w:szCs w:val="30"/>
          <w:lang w:val="en-US" w:eastAsia="zh-CN"/>
        </w:rPr>
        <w:t>5</w:t>
      </w:r>
      <w:r>
        <w:rPr>
          <w:rFonts w:hint="eastAsia" w:ascii="仿宋_GB2312" w:eastAsia="仿宋_GB2312"/>
          <w:b/>
          <w:sz w:val="30"/>
          <w:szCs w:val="30"/>
        </w:rPr>
        <w:t>年建材与家居行业“以旧换新”典型案例征集工作，并优选出中国建筑材料流通协会“以旧换新”行动先锋、优质服务商，</w:t>
      </w:r>
      <w:r>
        <w:rPr>
          <w:rFonts w:hint="eastAsia" w:ascii="仿宋_GB2312" w:eastAsia="仿宋_GB2312"/>
          <w:sz w:val="30"/>
          <w:szCs w:val="30"/>
        </w:rPr>
        <w:t>从而促进经验交流和学习互鉴，更好地营造消费氛围、</w:t>
      </w:r>
      <w:r>
        <w:rPr>
          <w:rFonts w:hint="eastAsia" w:ascii="仿宋_GB2312" w:eastAsia="仿宋_GB2312"/>
          <w:sz w:val="30"/>
          <w:szCs w:val="30"/>
          <w:lang w:eastAsia="zh-CN"/>
        </w:rPr>
        <w:t>强化</w:t>
      </w:r>
      <w:r>
        <w:rPr>
          <w:rFonts w:hint="eastAsia" w:ascii="仿宋_GB2312" w:eastAsia="仿宋_GB2312"/>
          <w:sz w:val="30"/>
          <w:szCs w:val="30"/>
        </w:rPr>
        <w:t>消费信心、激发市场活力。</w:t>
      </w:r>
    </w:p>
    <w:p w14:paraId="40D02FB6">
      <w:pPr>
        <w:ind w:firstLine="6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现将有关事项通知如下：</w:t>
      </w:r>
    </w:p>
    <w:p w14:paraId="2935D151">
      <w:pPr>
        <w:ind w:firstLine="6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一、征集评选工作目标</w:t>
      </w:r>
    </w:p>
    <w:p w14:paraId="553FDA2C">
      <w:pPr>
        <w:ind w:firstLine="6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优选出一批具有广泛影响性、代表性的</w:t>
      </w:r>
      <w:r>
        <w:rPr>
          <w:rFonts w:hint="eastAsia" w:ascii="仿宋_GB2312" w:eastAsia="仿宋_GB2312"/>
          <w:sz w:val="30"/>
          <w:szCs w:val="30"/>
          <w:lang w:eastAsia="zh-CN"/>
        </w:rPr>
        <w:t>“以旧换新”典型案例、行动先锋、优质服务商</w:t>
      </w:r>
      <w:r>
        <w:rPr>
          <w:rFonts w:hint="eastAsia" w:ascii="仿宋_GB2312" w:eastAsia="仿宋_GB2312"/>
          <w:sz w:val="30"/>
          <w:szCs w:val="30"/>
        </w:rPr>
        <w:t>，总结可复制推广的经验，向全国、建材与家居全行业推广，最终实现共同促进消费升级、推动产业高质量发展的目的。</w:t>
      </w:r>
    </w:p>
    <w:p w14:paraId="37793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仿宋_GB2312" w:eastAsia="仿宋_GB2312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二、征集评选对象</w:t>
      </w:r>
    </w:p>
    <w:p w14:paraId="1623F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积极贯彻落实</w:t>
      </w:r>
      <w:r>
        <w:rPr>
          <w:rFonts w:hint="eastAsia" w:ascii="仿宋_GB2312" w:eastAsia="仿宋_GB2312"/>
          <w:sz w:val="30"/>
          <w:szCs w:val="30"/>
          <w:lang w:eastAsia="zh-CN"/>
        </w:rPr>
        <w:t>全国消费品“以旧换新”</w:t>
      </w:r>
      <w:r>
        <w:rPr>
          <w:rFonts w:hint="eastAsia" w:ascii="仿宋_GB2312" w:eastAsia="仿宋_GB2312"/>
          <w:sz w:val="30"/>
          <w:szCs w:val="30"/>
        </w:rPr>
        <w:t>相关政策的地方政府部门，全国建材与家居行业生产、流通、服务企业和机构等。</w:t>
      </w:r>
    </w:p>
    <w:p w14:paraId="2E3E06A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征集评选项目及条件</w:t>
      </w:r>
    </w:p>
    <w:p w14:paraId="73E935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（一）</w:t>
      </w:r>
      <w:r>
        <w:rPr>
          <w:rFonts w:hint="eastAsia" w:ascii="楷体_GB2312" w:eastAsia="楷体_GB2312"/>
          <w:b/>
          <w:sz w:val="30"/>
          <w:szCs w:val="30"/>
          <w:lang w:eastAsia="zh-CN"/>
        </w:rPr>
        <w:t>“以旧换新”</w:t>
      </w:r>
      <w:r>
        <w:rPr>
          <w:rFonts w:hint="eastAsia" w:ascii="楷体_GB2312" w:eastAsia="楷体_GB2312"/>
          <w:b/>
          <w:sz w:val="30"/>
          <w:szCs w:val="30"/>
        </w:rPr>
        <w:t>典型案例</w:t>
      </w:r>
    </w:p>
    <w:p w14:paraId="59F07B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在202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5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仿宋_GB2312" w:eastAsia="仿宋_GB2312"/>
          <w:sz w:val="30"/>
          <w:szCs w:val="30"/>
          <w:lang w:eastAsia="zh-CN"/>
        </w:rPr>
        <w:t>度内</w:t>
      </w:r>
      <w:r>
        <w:rPr>
          <w:rFonts w:hint="eastAsia" w:ascii="仿宋_GB2312" w:eastAsia="仿宋_GB2312"/>
          <w:sz w:val="30"/>
          <w:szCs w:val="30"/>
        </w:rPr>
        <w:t>组织开展的促家居消费</w:t>
      </w:r>
      <w:r>
        <w:rPr>
          <w:rFonts w:hint="eastAsia" w:ascii="仿宋_GB2312" w:eastAsia="仿宋_GB2312"/>
          <w:sz w:val="30"/>
          <w:szCs w:val="30"/>
          <w:lang w:eastAsia="zh-CN"/>
        </w:rPr>
        <w:t>“以旧换新”</w:t>
      </w:r>
      <w:r>
        <w:rPr>
          <w:rFonts w:hint="eastAsia" w:ascii="仿宋_GB2312" w:eastAsia="仿宋_GB2312"/>
          <w:sz w:val="30"/>
          <w:szCs w:val="30"/>
        </w:rPr>
        <w:t>各类型活动，包括消费节、购物节、电商直播节、展览会、博览会、惠民行动、设计大赛、技能大赛等，主题契合度高、影响力强、带动作用大，在促进绿色、智能、适老家居消费等方面成效突出的活动项目，可申报</w:t>
      </w:r>
      <w:r>
        <w:rPr>
          <w:rFonts w:hint="eastAsia" w:ascii="仿宋_GB2312" w:eastAsia="仿宋_GB2312"/>
          <w:sz w:val="30"/>
          <w:szCs w:val="30"/>
          <w:lang w:eastAsia="zh-CN"/>
        </w:rPr>
        <w:t>“以旧换新”典型案例</w:t>
      </w:r>
      <w:r>
        <w:rPr>
          <w:rFonts w:hint="eastAsia" w:ascii="仿宋_GB2312" w:eastAsia="仿宋_GB2312"/>
          <w:sz w:val="30"/>
          <w:szCs w:val="30"/>
        </w:rPr>
        <w:t>。</w:t>
      </w:r>
    </w:p>
    <w:p w14:paraId="574B45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（二）</w:t>
      </w:r>
      <w:r>
        <w:rPr>
          <w:rFonts w:hint="eastAsia" w:ascii="楷体_GB2312" w:eastAsia="楷体_GB2312"/>
          <w:b/>
          <w:sz w:val="30"/>
          <w:szCs w:val="30"/>
          <w:lang w:eastAsia="zh-CN"/>
        </w:rPr>
        <w:t>“以旧换新”</w:t>
      </w:r>
      <w:r>
        <w:rPr>
          <w:rFonts w:hint="eastAsia" w:ascii="楷体_GB2312" w:eastAsia="楷体_GB2312"/>
          <w:b/>
          <w:sz w:val="30"/>
          <w:szCs w:val="30"/>
        </w:rPr>
        <w:t>行动先锋</w:t>
      </w:r>
    </w:p>
    <w:p w14:paraId="03C83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hint="eastAsia" w:ascii="仿宋_GB2312" w:eastAsia="仿宋_GB2312"/>
          <w:sz w:val="30"/>
          <w:szCs w:val="30"/>
          <w:lang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配合国家</w:t>
      </w:r>
      <w:r>
        <w:rPr>
          <w:rFonts w:hint="eastAsia" w:ascii="仿宋_GB2312" w:eastAsia="仿宋_GB2312"/>
          <w:sz w:val="30"/>
          <w:szCs w:val="30"/>
          <w:lang w:eastAsia="zh-CN"/>
        </w:rPr>
        <w:t>“以旧换新”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政策落实</w:t>
      </w:r>
      <w:r>
        <w:rPr>
          <w:rFonts w:hint="eastAsia" w:ascii="仿宋_GB2312" w:eastAsia="仿宋_GB2312"/>
          <w:sz w:val="30"/>
          <w:szCs w:val="30"/>
          <w:lang w:eastAsia="zh-CN"/>
        </w:rPr>
        <w:t>，</w:t>
      </w:r>
      <w:r>
        <w:rPr>
          <w:rFonts w:hint="eastAsia" w:ascii="仿宋_GB2312" w:eastAsia="仿宋_GB2312"/>
          <w:sz w:val="30"/>
          <w:szCs w:val="30"/>
        </w:rPr>
        <w:t>推出切实优惠的措施和优质放心的服务，满足城乡居民多元化、多层次消费需求，</w:t>
      </w:r>
      <w:r>
        <w:rPr>
          <w:rFonts w:hint="eastAsia" w:ascii="仿宋_GB2312" w:eastAsia="仿宋_GB2312"/>
          <w:sz w:val="30"/>
          <w:szCs w:val="30"/>
          <w:lang w:eastAsia="zh-CN"/>
        </w:rPr>
        <w:t>积极配合协会开展“以旧换新”政策座谈、实地调研、成效统计等工作，在落实国家“以旧换新”政策中效果显著的相关企业、机构、部门、单位，可申报“以旧换新”行动先锋。以“先行”换“先机”，有“先机”争“先锋”。</w:t>
      </w:r>
    </w:p>
    <w:p w14:paraId="710B97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（三）</w:t>
      </w:r>
      <w:r>
        <w:rPr>
          <w:rFonts w:hint="eastAsia" w:ascii="楷体_GB2312" w:eastAsia="楷体_GB2312"/>
          <w:b/>
          <w:sz w:val="30"/>
          <w:szCs w:val="30"/>
          <w:lang w:eastAsia="zh-CN"/>
        </w:rPr>
        <w:t>“以旧换新”</w:t>
      </w:r>
      <w:r>
        <w:rPr>
          <w:rFonts w:hint="eastAsia" w:ascii="楷体_GB2312" w:eastAsia="楷体_GB2312"/>
          <w:b/>
          <w:sz w:val="30"/>
          <w:szCs w:val="30"/>
        </w:rPr>
        <w:t>优质服务商</w:t>
      </w:r>
    </w:p>
    <w:p w14:paraId="2AE418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1"/>
        <w:textAlignment w:val="auto"/>
        <w:rPr>
          <w:rFonts w:hint="eastAsia" w:ascii="仿宋_GB2312" w:eastAsia="仿宋_GB2312"/>
          <w:sz w:val="30"/>
          <w:szCs w:val="30"/>
          <w:lang w:eastAsia="zh-CN"/>
        </w:rPr>
      </w:pPr>
      <w:r>
        <w:rPr>
          <w:rFonts w:hint="eastAsia" w:ascii="仿宋_GB2312" w:eastAsia="仿宋_GB2312"/>
          <w:sz w:val="30"/>
          <w:szCs w:val="30"/>
        </w:rPr>
        <w:t>公司化运营</w:t>
      </w:r>
      <w:r>
        <w:rPr>
          <w:rFonts w:hint="eastAsia" w:ascii="仿宋_GB2312" w:eastAsia="仿宋_GB2312"/>
          <w:sz w:val="30"/>
          <w:szCs w:val="30"/>
          <w:lang w:eastAsia="zh-CN"/>
        </w:rPr>
        <w:t>，</w:t>
      </w:r>
      <w:r>
        <w:rPr>
          <w:rFonts w:hint="eastAsia" w:ascii="仿宋_GB2312" w:eastAsia="仿宋_GB2312"/>
          <w:sz w:val="30"/>
          <w:szCs w:val="30"/>
        </w:rPr>
        <w:t>销售、服务网点布局能够满足消费者需求，具有较强的仓储及配送能力，保证货源充足、供应及时</w:t>
      </w:r>
      <w:r>
        <w:rPr>
          <w:rFonts w:hint="eastAsia" w:ascii="仿宋_GB2312" w:eastAsia="仿宋_GB2312"/>
          <w:sz w:val="30"/>
          <w:szCs w:val="30"/>
          <w:lang w:eastAsia="zh-CN"/>
        </w:rPr>
        <w:t>，</w:t>
      </w:r>
      <w:r>
        <w:rPr>
          <w:rFonts w:hint="eastAsia" w:ascii="仿宋_GB2312" w:eastAsia="仿宋_GB2312"/>
          <w:sz w:val="30"/>
          <w:szCs w:val="30"/>
        </w:rPr>
        <w:t>具备完善的送货、安装、调试、维修等售后服务体系</w:t>
      </w:r>
      <w:r>
        <w:rPr>
          <w:rFonts w:hint="eastAsia" w:ascii="仿宋_GB2312" w:eastAsia="仿宋_GB2312"/>
          <w:sz w:val="30"/>
          <w:szCs w:val="30"/>
          <w:lang w:eastAsia="zh-CN"/>
        </w:rPr>
        <w:t>，</w:t>
      </w:r>
      <w:r>
        <w:rPr>
          <w:rFonts w:hint="eastAsia" w:ascii="仿宋_GB2312" w:eastAsia="仿宋_GB2312"/>
          <w:sz w:val="30"/>
          <w:szCs w:val="30"/>
        </w:rPr>
        <w:t>具备</w:t>
      </w:r>
      <w:r>
        <w:rPr>
          <w:rFonts w:hint="eastAsia" w:ascii="仿宋_GB2312" w:eastAsia="仿宋_GB2312"/>
          <w:sz w:val="30"/>
          <w:szCs w:val="30"/>
          <w:lang w:eastAsia="zh-CN"/>
        </w:rPr>
        <w:t>较强</w:t>
      </w:r>
      <w:r>
        <w:rPr>
          <w:rFonts w:hint="eastAsia" w:ascii="仿宋_GB2312" w:eastAsia="仿宋_GB2312"/>
          <w:sz w:val="30"/>
          <w:szCs w:val="30"/>
        </w:rPr>
        <w:t>的收旧</w:t>
      </w:r>
      <w:r>
        <w:rPr>
          <w:rFonts w:hint="eastAsia" w:ascii="仿宋_GB2312" w:eastAsia="仿宋_GB2312"/>
          <w:sz w:val="30"/>
          <w:szCs w:val="30"/>
          <w:lang w:eastAsia="zh-CN"/>
        </w:rPr>
        <w:t>、送新一站式服务</w:t>
      </w:r>
      <w:r>
        <w:rPr>
          <w:rFonts w:hint="eastAsia" w:ascii="仿宋_GB2312" w:eastAsia="仿宋_GB2312"/>
          <w:sz w:val="30"/>
          <w:szCs w:val="30"/>
        </w:rPr>
        <w:t>能力，</w:t>
      </w:r>
      <w:r>
        <w:rPr>
          <w:rFonts w:hint="eastAsia" w:ascii="仿宋_GB2312" w:eastAsia="仿宋_GB2312"/>
          <w:sz w:val="30"/>
          <w:szCs w:val="30"/>
          <w:lang w:eastAsia="zh-CN"/>
        </w:rPr>
        <w:t>实力强、模式新、示范带动作用突出的企业、机构，可申报“以旧换新”优质服务商。</w:t>
      </w:r>
    </w:p>
    <w:p w14:paraId="159348A7">
      <w:pPr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四、发布形式</w:t>
      </w:r>
    </w:p>
    <w:p w14:paraId="36E39E51">
      <w:pPr>
        <w:ind w:firstLine="600" w:firstLineChars="20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</w:rPr>
        <w:t>本次征集和评选采取自主申报和专家组评审的方式进行，最终结果将于12月</w:t>
      </w:r>
      <w:r>
        <w:rPr>
          <w:rFonts w:hint="eastAsia" w:ascii="仿宋_GB2312" w:eastAsia="仿宋_GB2312"/>
          <w:color w:val="auto"/>
          <w:sz w:val="30"/>
          <w:szCs w:val="30"/>
          <w:lang w:val="en-US" w:eastAsia="zh-CN"/>
        </w:rPr>
        <w:t>10-11</w:t>
      </w:r>
      <w:r>
        <w:rPr>
          <w:rFonts w:hint="eastAsia" w:ascii="仿宋_GB2312" w:eastAsia="仿宋_GB2312"/>
          <w:color w:val="auto"/>
          <w:sz w:val="30"/>
          <w:szCs w:val="30"/>
        </w:rPr>
        <w:t>日中国建筑材料流通协会举办的“2025行业之光大会——第34届全国建材与家居行业年会”上公布。</w:t>
      </w:r>
    </w:p>
    <w:p w14:paraId="43B763F7">
      <w:pPr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中国建筑材料流通协会作为活动主办方，将与各大主流媒体共同做好相关宣传报道工作。</w:t>
      </w:r>
    </w:p>
    <w:p w14:paraId="537AFA30">
      <w:pPr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五、申报流程</w:t>
      </w:r>
    </w:p>
    <w:p w14:paraId="79A72DFA">
      <w:pPr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凡符合申报条件的单位可根据征集评审原则和具体要求进行申报，填写申报表（见附件），</w:t>
      </w:r>
      <w:r>
        <w:rPr>
          <w:rFonts w:hint="eastAsia" w:ascii="仿宋_GB2312" w:eastAsia="仿宋_GB2312"/>
          <w:b/>
          <w:bCs/>
          <w:sz w:val="30"/>
          <w:szCs w:val="30"/>
          <w:lang w:val="en-US" w:eastAsia="zh-CN"/>
        </w:rPr>
        <w:t>word版和盖章扫描pdf版各一份，</w:t>
      </w:r>
      <w:r>
        <w:rPr>
          <w:rFonts w:hint="eastAsia" w:ascii="仿宋_GB2312" w:eastAsia="仿宋_GB2312"/>
          <w:sz w:val="30"/>
          <w:szCs w:val="30"/>
        </w:rPr>
        <w:t>于202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5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11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15</w:t>
      </w:r>
      <w:r>
        <w:rPr>
          <w:rFonts w:hint="eastAsia" w:ascii="仿宋_GB2312" w:eastAsia="仿宋_GB2312"/>
          <w:sz w:val="30"/>
          <w:szCs w:val="30"/>
        </w:rPr>
        <w:t>日前发送至指定邮箱：</w:t>
      </w:r>
      <w:r>
        <w:rPr>
          <w:rFonts w:hint="default" w:ascii="Times New Roman" w:hAnsi="Times New Roman" w:eastAsia="仿宋_GB2312" w:cs="Times New Roman"/>
          <w:sz w:val="30"/>
          <w:szCs w:val="30"/>
        </w:rPr>
        <w:t>jcltxh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sz w:val="30"/>
          <w:szCs w:val="30"/>
        </w:rPr>
        <w:t>@126.com</w:t>
      </w:r>
      <w:r>
        <w:rPr>
          <w:rFonts w:hint="eastAsia" w:ascii="仿宋_GB2312" w:eastAsia="仿宋_GB2312"/>
          <w:sz w:val="30"/>
          <w:szCs w:val="30"/>
        </w:rPr>
        <w:t>，完成材料报送，逾期不再受理。</w:t>
      </w:r>
    </w:p>
    <w:p w14:paraId="119714AE">
      <w:pPr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六、报送联系方式</w:t>
      </w:r>
    </w:p>
    <w:p w14:paraId="7204370A">
      <w:pPr>
        <w:ind w:firstLine="600" w:firstLineChars="200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中国建筑材料流通协会秘书处：</w:t>
      </w:r>
    </w:p>
    <w:p w14:paraId="290D235C">
      <w:pPr>
        <w:ind w:firstLine="600" w:firstLineChars="200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王予阁  010-68394587</w:t>
      </w:r>
    </w:p>
    <w:p w14:paraId="61F6E4F5">
      <w:pPr>
        <w:ind w:firstLine="600" w:firstLineChars="200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范俊伶  010-68394584</w:t>
      </w:r>
    </w:p>
    <w:p w14:paraId="44B2FCE6">
      <w:pPr>
        <w:ind w:firstLine="600" w:firstLineChars="200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邮  箱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</w:rPr>
        <w:t>jcltxh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sz w:val="30"/>
          <w:szCs w:val="30"/>
        </w:rPr>
        <w:t>@126.com</w:t>
      </w:r>
    </w:p>
    <w:p w14:paraId="55E35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ascii="仿宋_GB2312" w:eastAsia="仿宋_GB2312"/>
          <w:sz w:val="30"/>
          <w:szCs w:val="30"/>
        </w:rPr>
      </w:pPr>
    </w:p>
    <w:p w14:paraId="2B1848A3">
      <w:pPr>
        <w:ind w:firstLine="600" w:firstLineChars="20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附  件：申报表</w:t>
      </w:r>
    </w:p>
    <w:p w14:paraId="37FE5AEC">
      <w:pPr>
        <w:ind w:firstLine="600" w:firstLineChars="200"/>
        <w:rPr>
          <w:rFonts w:hint="eastAsia" w:ascii="仿宋_GB2312" w:eastAsia="仿宋_GB2312"/>
          <w:sz w:val="30"/>
          <w:szCs w:val="30"/>
        </w:rPr>
      </w:pPr>
    </w:p>
    <w:p w14:paraId="791731C0">
      <w:pPr>
        <w:rPr>
          <w:rFonts w:ascii="仿宋_GB2312" w:eastAsia="仿宋_GB2312"/>
          <w:sz w:val="30"/>
          <w:szCs w:val="30"/>
        </w:rPr>
      </w:pPr>
    </w:p>
    <w:p w14:paraId="6B8F4E91">
      <w:pPr>
        <w:wordWrap w:val="0"/>
        <w:jc w:val="right"/>
        <w:rPr>
          <w:rFonts w:ascii="仿宋_GB2312" w:eastAsia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0"/>
          <w:szCs w:val="30"/>
        </w:rPr>
        <w:t>日</w:t>
      </w:r>
      <w:r>
        <w:rPr>
          <w:rFonts w:ascii="仿宋_GB2312" w:eastAsia="仿宋_GB2312"/>
          <w:sz w:val="30"/>
          <w:szCs w:val="30"/>
        </w:rPr>
        <w:br w:type="page"/>
      </w:r>
    </w:p>
    <w:p w14:paraId="35AB8DD7">
      <w:pPr>
        <w:ind w:right="150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附件：</w:t>
      </w:r>
    </w:p>
    <w:p w14:paraId="186154EF">
      <w:pPr>
        <w:spacing w:before="240" w:after="240" w:line="500" w:lineRule="exact"/>
        <w:ind w:right="147"/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申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报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095"/>
        <w:gridCol w:w="2096"/>
        <w:gridCol w:w="2096"/>
      </w:tblGrid>
      <w:tr w14:paraId="68904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235" w:type="dxa"/>
            <w:vAlign w:val="center"/>
          </w:tcPr>
          <w:p w14:paraId="313FB66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申报单位名称</w:t>
            </w:r>
          </w:p>
        </w:tc>
        <w:tc>
          <w:tcPr>
            <w:tcW w:w="6287" w:type="dxa"/>
            <w:gridSpan w:val="3"/>
            <w:vAlign w:val="center"/>
          </w:tcPr>
          <w:p w14:paraId="76DD375C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251F5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 w14:paraId="00C00C95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</w:t>
            </w:r>
          </w:p>
          <w:p w14:paraId="11C9BBF4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姓名及职务</w:t>
            </w:r>
          </w:p>
        </w:tc>
        <w:tc>
          <w:tcPr>
            <w:tcW w:w="2095" w:type="dxa"/>
            <w:vAlign w:val="center"/>
          </w:tcPr>
          <w:p w14:paraId="3BAA1604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  <w:tc>
          <w:tcPr>
            <w:tcW w:w="2096" w:type="dxa"/>
            <w:vAlign w:val="center"/>
          </w:tcPr>
          <w:p w14:paraId="30B69011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联系人电话</w:t>
            </w:r>
          </w:p>
        </w:tc>
        <w:tc>
          <w:tcPr>
            <w:tcW w:w="2096" w:type="dxa"/>
            <w:vAlign w:val="center"/>
          </w:tcPr>
          <w:p w14:paraId="3673BB7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3BC69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 w14:paraId="23A5C91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申报项目</w:t>
            </w:r>
          </w:p>
        </w:tc>
        <w:tc>
          <w:tcPr>
            <w:tcW w:w="6287" w:type="dxa"/>
            <w:gridSpan w:val="3"/>
            <w:vAlign w:val="center"/>
          </w:tcPr>
          <w:p w14:paraId="11E37D54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□“以旧换新”典型案例</w:t>
            </w:r>
          </w:p>
          <w:p w14:paraId="5C1D48D2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 w:firstLine="120" w:firstLineChars="50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  <w:t>（案例准确名称：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</w:rPr>
              <w:t xml:space="preserve">             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  <w:t>）</w:t>
            </w:r>
          </w:p>
          <w:p w14:paraId="410027A0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□“以旧换新”行动先锋</w:t>
            </w:r>
          </w:p>
          <w:p w14:paraId="3E75A1E7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□“以旧换新”优质服务商</w:t>
            </w:r>
          </w:p>
        </w:tc>
      </w:tr>
      <w:tr w14:paraId="468DA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35" w:type="dxa"/>
            <w:vAlign w:val="center"/>
          </w:tcPr>
          <w:p w14:paraId="2454A48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2025年度</w:t>
            </w:r>
          </w:p>
          <w:p w14:paraId="2B131B8F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“以旧换新”</w:t>
            </w:r>
          </w:p>
          <w:p w14:paraId="614C95FD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工作成效</w:t>
            </w:r>
          </w:p>
        </w:tc>
        <w:tc>
          <w:tcPr>
            <w:tcW w:w="6287" w:type="dxa"/>
            <w:gridSpan w:val="3"/>
            <w:vAlign w:val="center"/>
          </w:tcPr>
          <w:p w14:paraId="559D3BB3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已产生销售额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（亿元）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</w:rPr>
              <w:t>同比（%）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</w:t>
            </w:r>
          </w:p>
          <w:p w14:paraId="6BFF8F45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single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预计产生销售额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（亿元）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</w:t>
            </w:r>
          </w:p>
          <w:p w14:paraId="6CE26741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客流量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eastAsia="仿宋_GB2312"/>
                <w:sz w:val="28"/>
                <w:szCs w:val="28"/>
              </w:rPr>
              <w:t>进场人次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（万人）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</w:rPr>
              <w:t>同比（%）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</w:t>
            </w:r>
          </w:p>
          <w:p w14:paraId="65391EA7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default" w:ascii="仿宋_GB2312" w:eastAsia="仿宋_GB2312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收旧量（件）：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</w:p>
        </w:tc>
      </w:tr>
      <w:tr w14:paraId="21B55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0" w:hRule="atLeast"/>
        </w:trPr>
        <w:tc>
          <w:tcPr>
            <w:tcW w:w="2235" w:type="dxa"/>
            <w:vAlign w:val="center"/>
          </w:tcPr>
          <w:p w14:paraId="0CF49541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2025年度</w:t>
            </w:r>
          </w:p>
          <w:p w14:paraId="5A060448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“以旧换新”</w:t>
            </w:r>
          </w:p>
          <w:p w14:paraId="18FA661D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工作</w:t>
            </w: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情况</w:t>
            </w:r>
          </w:p>
          <w:p w14:paraId="6FC69093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000字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左右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，可另附页）</w:t>
            </w:r>
          </w:p>
          <w:p w14:paraId="6C2F2D3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</w:rPr>
            </w:pPr>
          </w:p>
          <w:p w14:paraId="0F5CF4E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4"/>
                <w:szCs w:val="24"/>
                <w:lang w:eastAsia="zh-CN"/>
              </w:rPr>
              <w:t>注：申报以旧换新”典型案例的，请详细说明活动案例有关情况</w:t>
            </w:r>
          </w:p>
        </w:tc>
        <w:tc>
          <w:tcPr>
            <w:tcW w:w="6287" w:type="dxa"/>
            <w:gridSpan w:val="3"/>
            <w:vAlign w:val="center"/>
          </w:tcPr>
          <w:p w14:paraId="26F8F127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685B5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8" w:hRule="atLeast"/>
        </w:trPr>
        <w:tc>
          <w:tcPr>
            <w:tcW w:w="2235" w:type="dxa"/>
            <w:vAlign w:val="center"/>
          </w:tcPr>
          <w:p w14:paraId="4C4BD77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</w:p>
        </w:tc>
        <w:tc>
          <w:tcPr>
            <w:tcW w:w="6287" w:type="dxa"/>
            <w:gridSpan w:val="3"/>
            <w:vAlign w:val="center"/>
          </w:tcPr>
          <w:p w14:paraId="1B17420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7C999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3" w:hRule="atLeast"/>
        </w:trPr>
        <w:tc>
          <w:tcPr>
            <w:tcW w:w="2235" w:type="dxa"/>
            <w:vAlign w:val="center"/>
          </w:tcPr>
          <w:p w14:paraId="5B2D9BD7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申报单位盖章</w:t>
            </w:r>
          </w:p>
        </w:tc>
        <w:tc>
          <w:tcPr>
            <w:tcW w:w="6287" w:type="dxa"/>
            <w:gridSpan w:val="3"/>
            <w:vAlign w:val="center"/>
          </w:tcPr>
          <w:p w14:paraId="17A3ACA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64FFC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7" w:hRule="atLeast"/>
        </w:trPr>
        <w:tc>
          <w:tcPr>
            <w:tcW w:w="2235" w:type="dxa"/>
            <w:vAlign w:val="center"/>
          </w:tcPr>
          <w:p w14:paraId="12F135C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中国建筑材料流通协会审核意见</w:t>
            </w:r>
          </w:p>
        </w:tc>
        <w:tc>
          <w:tcPr>
            <w:tcW w:w="6287" w:type="dxa"/>
            <w:gridSpan w:val="3"/>
            <w:vAlign w:val="center"/>
          </w:tcPr>
          <w:p w14:paraId="4445EB9C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</w:tbl>
    <w:p w14:paraId="209CA242">
      <w:pPr>
        <w:ind w:right="150"/>
        <w:rPr>
          <w:rFonts w:ascii="仿宋_GB2312" w:eastAsia="仿宋_GB2312"/>
          <w:sz w:val="15"/>
          <w:szCs w:val="15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013212"/>
      <w:docPartObj>
        <w:docPartGallery w:val="autotext"/>
      </w:docPartObj>
    </w:sdtPr>
    <w:sdtContent>
      <w:p w14:paraId="6F4A34A7">
        <w:pPr>
          <w:pStyle w:val="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C0B522"/>
    <w:multiLevelType w:val="singleLevel"/>
    <w:tmpl w:val="27C0B522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DE2YTIxNDAxYjZlMGMwMGI1ODc3Y2VlNDQ0YjNiMDYifQ=="/>
  </w:docVars>
  <w:rsids>
    <w:rsidRoot w:val="00942D65"/>
    <w:rsid w:val="000002B0"/>
    <w:rsid w:val="00011598"/>
    <w:rsid w:val="00012FB6"/>
    <w:rsid w:val="00017F32"/>
    <w:rsid w:val="000245BF"/>
    <w:rsid w:val="000263F0"/>
    <w:rsid w:val="00034087"/>
    <w:rsid w:val="00042694"/>
    <w:rsid w:val="00050FD7"/>
    <w:rsid w:val="000532C0"/>
    <w:rsid w:val="0006090F"/>
    <w:rsid w:val="000664C4"/>
    <w:rsid w:val="00067A02"/>
    <w:rsid w:val="00070DFB"/>
    <w:rsid w:val="00071153"/>
    <w:rsid w:val="00071293"/>
    <w:rsid w:val="000712AD"/>
    <w:rsid w:val="00073827"/>
    <w:rsid w:val="00081A06"/>
    <w:rsid w:val="0008277D"/>
    <w:rsid w:val="00082B49"/>
    <w:rsid w:val="00083023"/>
    <w:rsid w:val="00085934"/>
    <w:rsid w:val="000A2FE9"/>
    <w:rsid w:val="000B3C6F"/>
    <w:rsid w:val="000B51FB"/>
    <w:rsid w:val="000B6181"/>
    <w:rsid w:val="000F38AA"/>
    <w:rsid w:val="000F568A"/>
    <w:rsid w:val="000F59E2"/>
    <w:rsid w:val="00106420"/>
    <w:rsid w:val="00107364"/>
    <w:rsid w:val="00110C1B"/>
    <w:rsid w:val="001130B0"/>
    <w:rsid w:val="00114705"/>
    <w:rsid w:val="00117881"/>
    <w:rsid w:val="00117923"/>
    <w:rsid w:val="00124640"/>
    <w:rsid w:val="00134F35"/>
    <w:rsid w:val="00164F40"/>
    <w:rsid w:val="0016750A"/>
    <w:rsid w:val="00172686"/>
    <w:rsid w:val="00174478"/>
    <w:rsid w:val="001771BE"/>
    <w:rsid w:val="00180889"/>
    <w:rsid w:val="00182400"/>
    <w:rsid w:val="0018445E"/>
    <w:rsid w:val="0019437E"/>
    <w:rsid w:val="00197561"/>
    <w:rsid w:val="001B0562"/>
    <w:rsid w:val="001B1D67"/>
    <w:rsid w:val="001C1C3B"/>
    <w:rsid w:val="001C41EF"/>
    <w:rsid w:val="001D1586"/>
    <w:rsid w:val="001E11D3"/>
    <w:rsid w:val="001E7BE8"/>
    <w:rsid w:val="001F0876"/>
    <w:rsid w:val="001F1732"/>
    <w:rsid w:val="002069D0"/>
    <w:rsid w:val="00212D31"/>
    <w:rsid w:val="00213BDE"/>
    <w:rsid w:val="00217271"/>
    <w:rsid w:val="0022598B"/>
    <w:rsid w:val="0023035D"/>
    <w:rsid w:val="002358A9"/>
    <w:rsid w:val="00245110"/>
    <w:rsid w:val="002461D3"/>
    <w:rsid w:val="00260B82"/>
    <w:rsid w:val="00262414"/>
    <w:rsid w:val="00265F70"/>
    <w:rsid w:val="00267827"/>
    <w:rsid w:val="002718D3"/>
    <w:rsid w:val="0027235A"/>
    <w:rsid w:val="00272B86"/>
    <w:rsid w:val="00286EFB"/>
    <w:rsid w:val="00293997"/>
    <w:rsid w:val="002967C9"/>
    <w:rsid w:val="002A571D"/>
    <w:rsid w:val="002A6C76"/>
    <w:rsid w:val="002B275F"/>
    <w:rsid w:val="002B2DD2"/>
    <w:rsid w:val="002B3635"/>
    <w:rsid w:val="002B3829"/>
    <w:rsid w:val="002B4ACE"/>
    <w:rsid w:val="002C25A4"/>
    <w:rsid w:val="002C4FA7"/>
    <w:rsid w:val="002C65FE"/>
    <w:rsid w:val="002D2B3D"/>
    <w:rsid w:val="002D380F"/>
    <w:rsid w:val="002D57FB"/>
    <w:rsid w:val="002E0818"/>
    <w:rsid w:val="002E69D5"/>
    <w:rsid w:val="002F0790"/>
    <w:rsid w:val="002F40FB"/>
    <w:rsid w:val="002F7AAC"/>
    <w:rsid w:val="00302D8E"/>
    <w:rsid w:val="00305252"/>
    <w:rsid w:val="00313E3F"/>
    <w:rsid w:val="00316899"/>
    <w:rsid w:val="00317022"/>
    <w:rsid w:val="00321608"/>
    <w:rsid w:val="00322254"/>
    <w:rsid w:val="00335786"/>
    <w:rsid w:val="00344AF1"/>
    <w:rsid w:val="00356570"/>
    <w:rsid w:val="00356E5D"/>
    <w:rsid w:val="0035741D"/>
    <w:rsid w:val="00363008"/>
    <w:rsid w:val="003714CF"/>
    <w:rsid w:val="00374DFC"/>
    <w:rsid w:val="00391002"/>
    <w:rsid w:val="00391062"/>
    <w:rsid w:val="00396E1F"/>
    <w:rsid w:val="003A1CE3"/>
    <w:rsid w:val="003A7B63"/>
    <w:rsid w:val="003B15B8"/>
    <w:rsid w:val="003B34C9"/>
    <w:rsid w:val="003C440E"/>
    <w:rsid w:val="003C4805"/>
    <w:rsid w:val="003D07B3"/>
    <w:rsid w:val="003D17AD"/>
    <w:rsid w:val="003D1884"/>
    <w:rsid w:val="003D25BC"/>
    <w:rsid w:val="003D3BA0"/>
    <w:rsid w:val="003D7F41"/>
    <w:rsid w:val="003F5A59"/>
    <w:rsid w:val="004024FA"/>
    <w:rsid w:val="004056EE"/>
    <w:rsid w:val="0041353F"/>
    <w:rsid w:val="00413DF0"/>
    <w:rsid w:val="00415166"/>
    <w:rsid w:val="004157FD"/>
    <w:rsid w:val="00420A6B"/>
    <w:rsid w:val="00424BAB"/>
    <w:rsid w:val="0042579E"/>
    <w:rsid w:val="00425B91"/>
    <w:rsid w:val="00432B20"/>
    <w:rsid w:val="004332A8"/>
    <w:rsid w:val="00435CE5"/>
    <w:rsid w:val="004414CA"/>
    <w:rsid w:val="004473A1"/>
    <w:rsid w:val="0045462C"/>
    <w:rsid w:val="00461926"/>
    <w:rsid w:val="00463860"/>
    <w:rsid w:val="004655AF"/>
    <w:rsid w:val="0047667E"/>
    <w:rsid w:val="00480E9F"/>
    <w:rsid w:val="00483825"/>
    <w:rsid w:val="00486617"/>
    <w:rsid w:val="00495657"/>
    <w:rsid w:val="00495F86"/>
    <w:rsid w:val="00496039"/>
    <w:rsid w:val="004A02D4"/>
    <w:rsid w:val="004A2FB9"/>
    <w:rsid w:val="004A5E58"/>
    <w:rsid w:val="004B02CE"/>
    <w:rsid w:val="004B49FA"/>
    <w:rsid w:val="004B734C"/>
    <w:rsid w:val="004C0A53"/>
    <w:rsid w:val="004C1FBC"/>
    <w:rsid w:val="004C511D"/>
    <w:rsid w:val="004D4F24"/>
    <w:rsid w:val="004D5C0F"/>
    <w:rsid w:val="004D75D2"/>
    <w:rsid w:val="004E2430"/>
    <w:rsid w:val="004E3F7F"/>
    <w:rsid w:val="004F4D8B"/>
    <w:rsid w:val="0050523E"/>
    <w:rsid w:val="00507760"/>
    <w:rsid w:val="00513F35"/>
    <w:rsid w:val="00532343"/>
    <w:rsid w:val="00541F93"/>
    <w:rsid w:val="0054303C"/>
    <w:rsid w:val="005434DA"/>
    <w:rsid w:val="00544C6D"/>
    <w:rsid w:val="00553730"/>
    <w:rsid w:val="00572BB1"/>
    <w:rsid w:val="005802D5"/>
    <w:rsid w:val="005808CB"/>
    <w:rsid w:val="00583F86"/>
    <w:rsid w:val="005851A1"/>
    <w:rsid w:val="0059040A"/>
    <w:rsid w:val="00591A13"/>
    <w:rsid w:val="00592FC1"/>
    <w:rsid w:val="005B6479"/>
    <w:rsid w:val="005B7B00"/>
    <w:rsid w:val="005C46CD"/>
    <w:rsid w:val="005C6C63"/>
    <w:rsid w:val="005D41DA"/>
    <w:rsid w:val="005D78BA"/>
    <w:rsid w:val="005E34CA"/>
    <w:rsid w:val="005E3870"/>
    <w:rsid w:val="005E4D24"/>
    <w:rsid w:val="005F735B"/>
    <w:rsid w:val="0060313E"/>
    <w:rsid w:val="006138CD"/>
    <w:rsid w:val="00621B0A"/>
    <w:rsid w:val="0063636E"/>
    <w:rsid w:val="00636DD7"/>
    <w:rsid w:val="006411C1"/>
    <w:rsid w:val="00642AF3"/>
    <w:rsid w:val="006518B7"/>
    <w:rsid w:val="006557C4"/>
    <w:rsid w:val="00660EE4"/>
    <w:rsid w:val="006637CD"/>
    <w:rsid w:val="00663DFD"/>
    <w:rsid w:val="00665DD4"/>
    <w:rsid w:val="00666721"/>
    <w:rsid w:val="00666E4F"/>
    <w:rsid w:val="00680171"/>
    <w:rsid w:val="00687F7A"/>
    <w:rsid w:val="00693942"/>
    <w:rsid w:val="006953AD"/>
    <w:rsid w:val="006A3838"/>
    <w:rsid w:val="006C0232"/>
    <w:rsid w:val="006C20B4"/>
    <w:rsid w:val="006D2FDB"/>
    <w:rsid w:val="006D7F56"/>
    <w:rsid w:val="006E3EFC"/>
    <w:rsid w:val="006F36D2"/>
    <w:rsid w:val="006F5E1F"/>
    <w:rsid w:val="007079B0"/>
    <w:rsid w:val="00720CB1"/>
    <w:rsid w:val="007264C1"/>
    <w:rsid w:val="00730918"/>
    <w:rsid w:val="00735DAB"/>
    <w:rsid w:val="00740210"/>
    <w:rsid w:val="00744588"/>
    <w:rsid w:val="0074605F"/>
    <w:rsid w:val="007474E8"/>
    <w:rsid w:val="00753A95"/>
    <w:rsid w:val="00754F74"/>
    <w:rsid w:val="00756C0B"/>
    <w:rsid w:val="00761032"/>
    <w:rsid w:val="00763665"/>
    <w:rsid w:val="00775B33"/>
    <w:rsid w:val="007826F6"/>
    <w:rsid w:val="00784CA0"/>
    <w:rsid w:val="00787126"/>
    <w:rsid w:val="007906E8"/>
    <w:rsid w:val="0079144B"/>
    <w:rsid w:val="00794969"/>
    <w:rsid w:val="00795439"/>
    <w:rsid w:val="007954C2"/>
    <w:rsid w:val="007A00D8"/>
    <w:rsid w:val="007A4182"/>
    <w:rsid w:val="007B5562"/>
    <w:rsid w:val="007C2BD8"/>
    <w:rsid w:val="007C4CFC"/>
    <w:rsid w:val="007C56A2"/>
    <w:rsid w:val="007C61AD"/>
    <w:rsid w:val="007D0A52"/>
    <w:rsid w:val="007F26CF"/>
    <w:rsid w:val="007F6C94"/>
    <w:rsid w:val="008050CA"/>
    <w:rsid w:val="00814691"/>
    <w:rsid w:val="008166F0"/>
    <w:rsid w:val="00822693"/>
    <w:rsid w:val="0082374E"/>
    <w:rsid w:val="008279C0"/>
    <w:rsid w:val="00834719"/>
    <w:rsid w:val="0083733D"/>
    <w:rsid w:val="008410B2"/>
    <w:rsid w:val="0084294B"/>
    <w:rsid w:val="00843372"/>
    <w:rsid w:val="00846087"/>
    <w:rsid w:val="00850EB3"/>
    <w:rsid w:val="00853B51"/>
    <w:rsid w:val="00861741"/>
    <w:rsid w:val="008634F0"/>
    <w:rsid w:val="00865B93"/>
    <w:rsid w:val="008775D7"/>
    <w:rsid w:val="00881B9A"/>
    <w:rsid w:val="0088573B"/>
    <w:rsid w:val="00892555"/>
    <w:rsid w:val="00892F1C"/>
    <w:rsid w:val="00893CBD"/>
    <w:rsid w:val="008946BA"/>
    <w:rsid w:val="008979A0"/>
    <w:rsid w:val="008A0136"/>
    <w:rsid w:val="008B039D"/>
    <w:rsid w:val="008B39F6"/>
    <w:rsid w:val="008C1582"/>
    <w:rsid w:val="008C5D0A"/>
    <w:rsid w:val="008D13DD"/>
    <w:rsid w:val="008D1FD7"/>
    <w:rsid w:val="008D58B8"/>
    <w:rsid w:val="008D65B5"/>
    <w:rsid w:val="008F3F7D"/>
    <w:rsid w:val="00907D9E"/>
    <w:rsid w:val="00910DAF"/>
    <w:rsid w:val="0091118C"/>
    <w:rsid w:val="00912DF3"/>
    <w:rsid w:val="00915326"/>
    <w:rsid w:val="00915FDB"/>
    <w:rsid w:val="00917A7D"/>
    <w:rsid w:val="00921125"/>
    <w:rsid w:val="009219DB"/>
    <w:rsid w:val="00921F8E"/>
    <w:rsid w:val="00927458"/>
    <w:rsid w:val="00930F08"/>
    <w:rsid w:val="009339EB"/>
    <w:rsid w:val="00934F55"/>
    <w:rsid w:val="0093657A"/>
    <w:rsid w:val="009373AD"/>
    <w:rsid w:val="00942CFD"/>
    <w:rsid w:val="00942D65"/>
    <w:rsid w:val="0094497E"/>
    <w:rsid w:val="00957F1D"/>
    <w:rsid w:val="009625AA"/>
    <w:rsid w:val="00970D13"/>
    <w:rsid w:val="009746EF"/>
    <w:rsid w:val="0099082A"/>
    <w:rsid w:val="009B6070"/>
    <w:rsid w:val="009C054B"/>
    <w:rsid w:val="009C67ED"/>
    <w:rsid w:val="009D2073"/>
    <w:rsid w:val="009E04EC"/>
    <w:rsid w:val="009E321B"/>
    <w:rsid w:val="009E55C5"/>
    <w:rsid w:val="009F034C"/>
    <w:rsid w:val="009F28A8"/>
    <w:rsid w:val="00A05F37"/>
    <w:rsid w:val="00A06268"/>
    <w:rsid w:val="00A1741E"/>
    <w:rsid w:val="00A228DB"/>
    <w:rsid w:val="00A22DA1"/>
    <w:rsid w:val="00A31B8C"/>
    <w:rsid w:val="00A45DA1"/>
    <w:rsid w:val="00A53A79"/>
    <w:rsid w:val="00A725A0"/>
    <w:rsid w:val="00A72C02"/>
    <w:rsid w:val="00A84B81"/>
    <w:rsid w:val="00A935F8"/>
    <w:rsid w:val="00AA3095"/>
    <w:rsid w:val="00AB6DFD"/>
    <w:rsid w:val="00AC0B18"/>
    <w:rsid w:val="00AC65C8"/>
    <w:rsid w:val="00AD12B8"/>
    <w:rsid w:val="00AE342E"/>
    <w:rsid w:val="00AE4E97"/>
    <w:rsid w:val="00AE5022"/>
    <w:rsid w:val="00AF2025"/>
    <w:rsid w:val="00B05738"/>
    <w:rsid w:val="00B131DB"/>
    <w:rsid w:val="00B16211"/>
    <w:rsid w:val="00B2786B"/>
    <w:rsid w:val="00B30818"/>
    <w:rsid w:val="00B31011"/>
    <w:rsid w:val="00B43A5E"/>
    <w:rsid w:val="00B45C8C"/>
    <w:rsid w:val="00B46BC1"/>
    <w:rsid w:val="00B53FF6"/>
    <w:rsid w:val="00B862B2"/>
    <w:rsid w:val="00B92F59"/>
    <w:rsid w:val="00B93D88"/>
    <w:rsid w:val="00BA58E5"/>
    <w:rsid w:val="00BB1371"/>
    <w:rsid w:val="00BB2F8A"/>
    <w:rsid w:val="00BB47B8"/>
    <w:rsid w:val="00BC0D24"/>
    <w:rsid w:val="00BC6AFF"/>
    <w:rsid w:val="00BE3E8B"/>
    <w:rsid w:val="00BF62A6"/>
    <w:rsid w:val="00BF6660"/>
    <w:rsid w:val="00BF7A2D"/>
    <w:rsid w:val="00C04AB6"/>
    <w:rsid w:val="00C13F87"/>
    <w:rsid w:val="00C22170"/>
    <w:rsid w:val="00C30116"/>
    <w:rsid w:val="00C31763"/>
    <w:rsid w:val="00C3568D"/>
    <w:rsid w:val="00C361B5"/>
    <w:rsid w:val="00C401C1"/>
    <w:rsid w:val="00C422E8"/>
    <w:rsid w:val="00C47AC1"/>
    <w:rsid w:val="00C61858"/>
    <w:rsid w:val="00C61D3C"/>
    <w:rsid w:val="00C632FC"/>
    <w:rsid w:val="00C65D19"/>
    <w:rsid w:val="00C7091D"/>
    <w:rsid w:val="00C732C8"/>
    <w:rsid w:val="00CA510F"/>
    <w:rsid w:val="00CB24A2"/>
    <w:rsid w:val="00CC1D57"/>
    <w:rsid w:val="00CC20A8"/>
    <w:rsid w:val="00CC6717"/>
    <w:rsid w:val="00CD280E"/>
    <w:rsid w:val="00CD39B5"/>
    <w:rsid w:val="00CD4904"/>
    <w:rsid w:val="00CE7B99"/>
    <w:rsid w:val="00CF4EF0"/>
    <w:rsid w:val="00D04684"/>
    <w:rsid w:val="00D06D8B"/>
    <w:rsid w:val="00D10C68"/>
    <w:rsid w:val="00D136AA"/>
    <w:rsid w:val="00D2220D"/>
    <w:rsid w:val="00D32694"/>
    <w:rsid w:val="00D4100D"/>
    <w:rsid w:val="00D42AE6"/>
    <w:rsid w:val="00D47370"/>
    <w:rsid w:val="00D609FB"/>
    <w:rsid w:val="00D61A73"/>
    <w:rsid w:val="00D66351"/>
    <w:rsid w:val="00D6703B"/>
    <w:rsid w:val="00D75C01"/>
    <w:rsid w:val="00D767B0"/>
    <w:rsid w:val="00D8747D"/>
    <w:rsid w:val="00D90D3D"/>
    <w:rsid w:val="00D92766"/>
    <w:rsid w:val="00D94211"/>
    <w:rsid w:val="00DA542A"/>
    <w:rsid w:val="00DB5576"/>
    <w:rsid w:val="00DB73A4"/>
    <w:rsid w:val="00DC1B94"/>
    <w:rsid w:val="00DC6C76"/>
    <w:rsid w:val="00DC738B"/>
    <w:rsid w:val="00DD1E94"/>
    <w:rsid w:val="00DD6810"/>
    <w:rsid w:val="00DD6F65"/>
    <w:rsid w:val="00DF1330"/>
    <w:rsid w:val="00DF35D5"/>
    <w:rsid w:val="00E21DE1"/>
    <w:rsid w:val="00E30660"/>
    <w:rsid w:val="00E333F4"/>
    <w:rsid w:val="00E36A53"/>
    <w:rsid w:val="00E4100C"/>
    <w:rsid w:val="00E4289B"/>
    <w:rsid w:val="00E42FA1"/>
    <w:rsid w:val="00E450CB"/>
    <w:rsid w:val="00E45683"/>
    <w:rsid w:val="00E45C9C"/>
    <w:rsid w:val="00E541DD"/>
    <w:rsid w:val="00E562C2"/>
    <w:rsid w:val="00E73AF9"/>
    <w:rsid w:val="00E76921"/>
    <w:rsid w:val="00E8743A"/>
    <w:rsid w:val="00E969F7"/>
    <w:rsid w:val="00E96A62"/>
    <w:rsid w:val="00E9753C"/>
    <w:rsid w:val="00EA0AAA"/>
    <w:rsid w:val="00EA0B3B"/>
    <w:rsid w:val="00EB0FCB"/>
    <w:rsid w:val="00EC77E6"/>
    <w:rsid w:val="00ED2C5D"/>
    <w:rsid w:val="00EE4F1C"/>
    <w:rsid w:val="00EE5040"/>
    <w:rsid w:val="00EE55F9"/>
    <w:rsid w:val="00EF0F21"/>
    <w:rsid w:val="00EF4291"/>
    <w:rsid w:val="00EF7791"/>
    <w:rsid w:val="00F01889"/>
    <w:rsid w:val="00F06C06"/>
    <w:rsid w:val="00F23065"/>
    <w:rsid w:val="00F24ED4"/>
    <w:rsid w:val="00F3190F"/>
    <w:rsid w:val="00F3716C"/>
    <w:rsid w:val="00F448E5"/>
    <w:rsid w:val="00F47CCA"/>
    <w:rsid w:val="00F61870"/>
    <w:rsid w:val="00F64A0E"/>
    <w:rsid w:val="00F70683"/>
    <w:rsid w:val="00F8060D"/>
    <w:rsid w:val="00F81316"/>
    <w:rsid w:val="00F818F4"/>
    <w:rsid w:val="00F8466E"/>
    <w:rsid w:val="00F87A0D"/>
    <w:rsid w:val="00F90607"/>
    <w:rsid w:val="00F90620"/>
    <w:rsid w:val="00F92329"/>
    <w:rsid w:val="00FA62ED"/>
    <w:rsid w:val="00FB0D97"/>
    <w:rsid w:val="00FC01DF"/>
    <w:rsid w:val="00FC0FF3"/>
    <w:rsid w:val="00FC5AD2"/>
    <w:rsid w:val="00FE245C"/>
    <w:rsid w:val="00FE6108"/>
    <w:rsid w:val="04954A53"/>
    <w:rsid w:val="04A66578"/>
    <w:rsid w:val="1AA50C28"/>
    <w:rsid w:val="1CF71C0F"/>
    <w:rsid w:val="216E54D4"/>
    <w:rsid w:val="29470569"/>
    <w:rsid w:val="2D847E0C"/>
    <w:rsid w:val="30CB0F91"/>
    <w:rsid w:val="433C7ACC"/>
    <w:rsid w:val="447C614A"/>
    <w:rsid w:val="4C995F8F"/>
    <w:rsid w:val="4F0125CA"/>
    <w:rsid w:val="52392697"/>
    <w:rsid w:val="54833583"/>
    <w:rsid w:val="564927D4"/>
    <w:rsid w:val="57877110"/>
    <w:rsid w:val="5BD157B2"/>
    <w:rsid w:val="6D8048D6"/>
    <w:rsid w:val="6DC72C06"/>
    <w:rsid w:val="71397275"/>
    <w:rsid w:val="72343EE1"/>
    <w:rsid w:val="75D4756D"/>
    <w:rsid w:val="76347D47"/>
    <w:rsid w:val="7B4E6013"/>
    <w:rsid w:val="7B775D08"/>
    <w:rsid w:val="7D36790A"/>
    <w:rsid w:val="7E41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Calibri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6</Pages>
  <Words>1821</Words>
  <Characters>1940</Characters>
  <Lines>13</Lines>
  <Paragraphs>3</Paragraphs>
  <TotalTime>88</TotalTime>
  <ScaleCrop>false</ScaleCrop>
  <LinksUpToDate>false</LinksUpToDate>
  <CharactersWithSpaces>2041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2023-10-19T02:44:00Z</dcterms:created>
  <dc:creator>USER-</dc:creator>
  <cp:lastModifiedBy>yuanni</cp:lastModifiedBy>
  <cp:lastPrinted>2025-09-29T06:00:21Z</cp:lastPrinted>
  <dcterms:modified xsi:type="dcterms:W3CDTF">2025-09-29T06:01:47Z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ADAFC1967EA64FA985818AF5D718F13C_12</vt:lpwstr>
  </property>
  <property fmtid="{D5CDD505-2E9C-101B-9397-08002B2CF9AE}" pid="4" name="KSOTemplateDocerSaveRecord">
    <vt:lpwstr>eyJoZGlkIjoiYWVlNTkzODYxMzM5MmFiMDJjNzdlNzY5MzZiYWEzNzciLCJ1c2VySWQiOiIzNDI4MzMzNjAifQ==</vt:lpwstr>
  </property>
</Properties>
</file>